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7AE08" w14:textId="77777777" w:rsidR="00F35FFF" w:rsidRDefault="00F35FFF" w:rsidP="00427A9E">
      <w:pPr>
        <w:numPr>
          <w:ilvl w:val="0"/>
          <w:numId w:val="1"/>
        </w:numPr>
        <w:tabs>
          <w:tab w:val="clear" w:pos="720"/>
          <w:tab w:val="num" w:pos="360"/>
        </w:tabs>
        <w:spacing w:after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4705C">
        <w:rPr>
          <w:rFonts w:ascii="Arial" w:hAnsi="Arial" w:cs="Arial"/>
          <w:bCs/>
          <w:spacing w:val="-3"/>
          <w:sz w:val="22"/>
          <w:szCs w:val="22"/>
        </w:rPr>
        <w:t xml:space="preserve">The Health Practitioner Regulation National Law (Surgeons) Amendment Bill 2023 (Bill)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amends the Health Practitioner Regulation National Law to </w:t>
      </w:r>
      <w:r w:rsidRPr="00FE54CC">
        <w:rPr>
          <w:rFonts w:ascii="Arial" w:hAnsi="Arial" w:cs="Arial"/>
          <w:bCs/>
          <w:spacing w:val="-3"/>
          <w:sz w:val="22"/>
          <w:szCs w:val="22"/>
        </w:rPr>
        <w:t>protect the title ‘surgeon’ within the medical profession to safeguard the public and strengthen the regulation of cosmetic surgery in Australia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14:paraId="3EFC68BC" w14:textId="77777777" w:rsidR="00F35FFF" w:rsidRPr="005A68A1" w:rsidRDefault="00F35FFF" w:rsidP="00427A9E">
      <w:pPr>
        <w:numPr>
          <w:ilvl w:val="0"/>
          <w:numId w:val="1"/>
        </w:numPr>
        <w:tabs>
          <w:tab w:val="clear" w:pos="720"/>
          <w:tab w:val="num" w:pos="360"/>
        </w:tabs>
        <w:spacing w:after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This will be achieved by </w:t>
      </w:r>
      <w:r w:rsidRPr="005A68A1">
        <w:rPr>
          <w:rFonts w:ascii="Arial" w:hAnsi="Arial" w:cs="Arial"/>
          <w:bCs/>
          <w:spacing w:val="-3"/>
          <w:sz w:val="22"/>
          <w:szCs w:val="22"/>
        </w:rPr>
        <w:t xml:space="preserve">making it an offence for a medical practitioner to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knowingly and recklessly </w:t>
      </w:r>
      <w:r w:rsidRPr="005A68A1">
        <w:rPr>
          <w:rFonts w:ascii="Arial" w:hAnsi="Arial" w:cs="Arial"/>
          <w:bCs/>
          <w:spacing w:val="-3"/>
          <w:sz w:val="22"/>
          <w:szCs w:val="22"/>
        </w:rPr>
        <w:t xml:space="preserve">use the title ‘surgeon’ or to hold themselves out as a surgeon, if they are not </w:t>
      </w:r>
      <w:r>
        <w:rPr>
          <w:rFonts w:ascii="Arial" w:hAnsi="Arial" w:cs="Arial"/>
          <w:bCs/>
          <w:spacing w:val="-3"/>
          <w:sz w:val="22"/>
          <w:szCs w:val="22"/>
        </w:rPr>
        <w:t>a member of</w:t>
      </w:r>
      <w:r w:rsidRPr="005A68A1">
        <w:rPr>
          <w:rFonts w:ascii="Arial" w:hAnsi="Arial" w:cs="Arial"/>
          <w:bCs/>
          <w:spacing w:val="-3"/>
          <w:sz w:val="22"/>
          <w:szCs w:val="22"/>
        </w:rPr>
        <w:t xml:space="preserve"> an approved ‘surgical class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  <w:r w:rsidRPr="005A68A1">
        <w:rPr>
          <w:rFonts w:ascii="Arial" w:hAnsi="Arial" w:cs="Arial"/>
          <w:bCs/>
          <w:spacing w:val="-3"/>
          <w:sz w:val="22"/>
          <w:szCs w:val="22"/>
        </w:rPr>
        <w:t>’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It will also be an offence for an employer or other person to use the title ‘surgeon’ with respect to a medical practitioner that is not a member of a surgical class. </w:t>
      </w:r>
      <w:r w:rsidRPr="005A68A1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744AC9A3" w14:textId="77777777" w:rsidR="00F35FFF" w:rsidRDefault="00F35FFF" w:rsidP="00427A9E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Bill defines ‘surgical class’ to comprise of:</w:t>
      </w:r>
    </w:p>
    <w:p w14:paraId="74266E25" w14:textId="379F4EEC" w:rsidR="00F35FFF" w:rsidRDefault="00F35FFF" w:rsidP="00427A9E">
      <w:pPr>
        <w:numPr>
          <w:ilvl w:val="1"/>
          <w:numId w:val="1"/>
        </w:numPr>
        <w:tabs>
          <w:tab w:val="clear" w:pos="1443"/>
          <w:tab w:val="num" w:pos="709"/>
        </w:tabs>
        <w:spacing w:after="120"/>
        <w:ind w:left="709" w:hanging="283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medical practitioners </w:t>
      </w:r>
      <w:r w:rsidRPr="0098258D">
        <w:rPr>
          <w:rFonts w:ascii="Arial" w:hAnsi="Arial" w:cs="Arial"/>
          <w:bCs/>
          <w:spacing w:val="-3"/>
          <w:sz w:val="22"/>
          <w:szCs w:val="22"/>
        </w:rPr>
        <w:t>holding specialist registration in the three recognised medical specialties of: surgery, obstetrics and gynaecology, and ophthalmology</w:t>
      </w:r>
      <w:r w:rsidR="006F0588">
        <w:rPr>
          <w:rFonts w:ascii="Arial" w:hAnsi="Arial" w:cs="Arial"/>
          <w:bCs/>
          <w:spacing w:val="-3"/>
          <w:sz w:val="22"/>
          <w:szCs w:val="22"/>
        </w:rPr>
        <w:t>;</w:t>
      </w:r>
    </w:p>
    <w:p w14:paraId="015C6C12" w14:textId="77777777" w:rsidR="00F35FFF" w:rsidRDefault="00F35FFF" w:rsidP="00427A9E">
      <w:pPr>
        <w:numPr>
          <w:ilvl w:val="1"/>
          <w:numId w:val="1"/>
        </w:numPr>
        <w:tabs>
          <w:tab w:val="clear" w:pos="1443"/>
          <w:tab w:val="num" w:pos="709"/>
        </w:tabs>
        <w:spacing w:after="120"/>
        <w:ind w:left="709" w:hanging="283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8258D">
        <w:rPr>
          <w:rFonts w:ascii="Arial" w:hAnsi="Arial" w:cs="Arial"/>
          <w:bCs/>
          <w:spacing w:val="-3"/>
          <w:sz w:val="22"/>
          <w:szCs w:val="22"/>
        </w:rPr>
        <w:t>medical practitioners holding specialist registration in another recognised specialty in the medical profession with the word ‘surgeon’ in a specialist title for the specialty; and</w:t>
      </w:r>
    </w:p>
    <w:p w14:paraId="51AA8DEF" w14:textId="77777777" w:rsidR="00F35FFF" w:rsidRPr="0098258D" w:rsidRDefault="00F35FFF" w:rsidP="00427A9E">
      <w:pPr>
        <w:numPr>
          <w:ilvl w:val="1"/>
          <w:numId w:val="1"/>
        </w:numPr>
        <w:tabs>
          <w:tab w:val="clear" w:pos="1443"/>
          <w:tab w:val="num" w:pos="709"/>
        </w:tabs>
        <w:spacing w:after="240"/>
        <w:ind w:left="709" w:hanging="283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8258D">
        <w:rPr>
          <w:rFonts w:ascii="Arial" w:hAnsi="Arial" w:cs="Arial"/>
          <w:bCs/>
          <w:spacing w:val="-3"/>
          <w:sz w:val="22"/>
          <w:szCs w:val="22"/>
        </w:rPr>
        <w:t>other classes prescribed by regulation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  <w:r w:rsidRPr="0098258D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1713E7CA" w14:textId="77777777" w:rsidR="00F35FFF" w:rsidRDefault="00F35FFF" w:rsidP="00427A9E">
      <w:pPr>
        <w:numPr>
          <w:ilvl w:val="0"/>
          <w:numId w:val="1"/>
        </w:numPr>
        <w:tabs>
          <w:tab w:val="clear" w:pos="720"/>
          <w:tab w:val="num" w:pos="360"/>
        </w:tabs>
        <w:spacing w:after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</w:t>
      </w:r>
      <w:r w:rsidRPr="0097193B">
        <w:rPr>
          <w:rFonts w:ascii="Arial" w:hAnsi="Arial" w:cs="Arial"/>
          <w:bCs/>
          <w:spacing w:val="-3"/>
          <w:sz w:val="22"/>
          <w:szCs w:val="22"/>
        </w:rPr>
        <w:t xml:space="preserve"> Bill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also</w:t>
      </w:r>
      <w:r w:rsidRPr="0097193B">
        <w:rPr>
          <w:rFonts w:ascii="Arial" w:hAnsi="Arial" w:cs="Arial"/>
          <w:bCs/>
          <w:spacing w:val="-3"/>
          <w:sz w:val="22"/>
          <w:szCs w:val="22"/>
        </w:rPr>
        <w:t xml:space="preserve"> includes amendments to clarify the decision-making authority of tribunals after hearing a matter about a registered health practitioner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71AFE6C7" w14:textId="527FCD66" w:rsidR="00F35FFF" w:rsidRPr="0097193B" w:rsidRDefault="00F35FFF" w:rsidP="00427A9E">
      <w:pPr>
        <w:numPr>
          <w:ilvl w:val="0"/>
          <w:numId w:val="1"/>
        </w:numPr>
        <w:tabs>
          <w:tab w:val="clear" w:pos="720"/>
          <w:tab w:val="num" w:pos="360"/>
        </w:tabs>
        <w:spacing w:after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7193B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Pr="00754820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the</w:t>
      </w:r>
      <w:r w:rsidRPr="000966E9">
        <w:rPr>
          <w:rStyle w:val="normaltextrun"/>
          <w:rFonts w:ascii="Arial" w:hAnsi="Arial" w:cs="Arial"/>
          <w:szCs w:val="24"/>
          <w:shd w:val="clear" w:color="auto" w:fill="FFFFFF"/>
        </w:rPr>
        <w:t xml:space="preserve"> </w:t>
      </w:r>
      <w:r w:rsidRPr="00934007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introduction of the </w:t>
      </w:r>
      <w:r w:rsidRPr="00934007">
        <w:rPr>
          <w:rFonts w:ascii="Arial" w:hAnsi="Arial" w:cs="Arial"/>
          <w:sz w:val="22"/>
          <w:szCs w:val="22"/>
        </w:rPr>
        <w:t xml:space="preserve">Health Practitioner Regulation National Law (Surgeons) Amendment Bill 2023 </w:t>
      </w:r>
      <w:r w:rsidRPr="00934007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into the Legislative Assembly</w:t>
      </w:r>
      <w:r w:rsidR="00E94ED3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.</w:t>
      </w:r>
    </w:p>
    <w:p w14:paraId="0E06026C" w14:textId="77777777" w:rsidR="00F35FFF" w:rsidRPr="00C07656" w:rsidRDefault="00F35FFF" w:rsidP="0002622E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  <w:r>
        <w:rPr>
          <w:rFonts w:ascii="Arial" w:hAnsi="Arial" w:cs="Arial"/>
          <w:iCs/>
          <w:sz w:val="22"/>
          <w:szCs w:val="22"/>
        </w:rPr>
        <w:t>:</w:t>
      </w:r>
    </w:p>
    <w:p w14:paraId="1797A6AE" w14:textId="075600A0" w:rsidR="00F35FFF" w:rsidRDefault="00CF4200" w:rsidP="0002622E">
      <w:pPr>
        <w:numPr>
          <w:ilvl w:val="0"/>
          <w:numId w:val="2"/>
        </w:numPr>
        <w:spacing w:before="120"/>
        <w:ind w:left="821" w:hanging="461"/>
        <w:jc w:val="both"/>
        <w:rPr>
          <w:rFonts w:ascii="Arial" w:hAnsi="Arial" w:cs="Arial"/>
          <w:sz w:val="22"/>
          <w:szCs w:val="22"/>
        </w:rPr>
      </w:pPr>
      <w:hyperlink r:id="rId9" w:history="1">
        <w:r w:rsidR="00F35FFF" w:rsidRPr="00707408">
          <w:rPr>
            <w:rStyle w:val="Hyperlink"/>
            <w:rFonts w:ascii="Arial" w:hAnsi="Arial" w:cs="Arial"/>
            <w:sz w:val="22"/>
            <w:szCs w:val="22"/>
          </w:rPr>
          <w:t>Health Practitioner Regulation National Law (Surgeons) Amendment Bill 2023</w:t>
        </w:r>
      </w:hyperlink>
    </w:p>
    <w:p w14:paraId="2FE21297" w14:textId="2C699845" w:rsidR="00F35FFF" w:rsidRDefault="00CF4200" w:rsidP="0002622E">
      <w:pPr>
        <w:numPr>
          <w:ilvl w:val="0"/>
          <w:numId w:val="2"/>
        </w:numPr>
        <w:spacing w:before="120"/>
        <w:ind w:left="821" w:hanging="46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F35FFF" w:rsidRPr="00707408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14:paraId="612C4EEE" w14:textId="3069F6AF" w:rsidR="00C32C95" w:rsidRPr="00427A9E" w:rsidRDefault="00CF4200" w:rsidP="0002622E">
      <w:pPr>
        <w:numPr>
          <w:ilvl w:val="0"/>
          <w:numId w:val="2"/>
        </w:numPr>
        <w:spacing w:before="120"/>
        <w:ind w:left="821" w:hanging="46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F35FFF" w:rsidRPr="00707408">
          <w:rPr>
            <w:rStyle w:val="Hyperlink"/>
            <w:rFonts w:ascii="Arial" w:hAnsi="Arial" w:cs="Arial"/>
            <w:sz w:val="22"/>
            <w:szCs w:val="22"/>
          </w:rPr>
          <w:t>Human Rights Statement of Compatibility</w:t>
        </w:r>
      </w:hyperlink>
    </w:p>
    <w:sectPr w:rsidR="00C32C95" w:rsidRPr="00427A9E" w:rsidSect="00427A9E">
      <w:headerReference w:type="first" r:id="rId12"/>
      <w:pgSz w:w="11907" w:h="16840" w:code="9"/>
      <w:pgMar w:top="1134" w:right="1134" w:bottom="1134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9DEC2" w14:textId="77777777" w:rsidR="000D71E9" w:rsidRDefault="000D71E9" w:rsidP="00F35FFF">
      <w:r>
        <w:separator/>
      </w:r>
    </w:p>
  </w:endnote>
  <w:endnote w:type="continuationSeparator" w:id="0">
    <w:p w14:paraId="682F0D94" w14:textId="77777777" w:rsidR="000D71E9" w:rsidRDefault="000D71E9" w:rsidP="00F3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647A1" w14:textId="77777777" w:rsidR="000D71E9" w:rsidRDefault="000D71E9" w:rsidP="00F35FFF">
      <w:r>
        <w:separator/>
      </w:r>
    </w:p>
  </w:footnote>
  <w:footnote w:type="continuationSeparator" w:id="0">
    <w:p w14:paraId="0B05B3C2" w14:textId="77777777" w:rsidR="000D71E9" w:rsidRDefault="000D71E9" w:rsidP="00F35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85D5C" w14:textId="7188A370" w:rsidR="00427A9E" w:rsidRPr="003E3AAE" w:rsidRDefault="006F0588" w:rsidP="00427A9E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lear" w:pos="4153"/>
        <w:tab w:val="clear" w:pos="8306"/>
      </w:tabs>
      <w:jc w:val="center"/>
      <w:rPr>
        <w:rFonts w:ascii="Arial" w:hAnsi="Arial" w:cs="Arial"/>
        <w:b/>
        <w:sz w:val="28"/>
        <w:szCs w:val="22"/>
      </w:rPr>
    </w:pPr>
    <w:r w:rsidRPr="003E3AAE">
      <w:rPr>
        <w:rFonts w:ascii="Arial" w:hAnsi="Arial" w:cs="Arial"/>
        <w:b/>
        <w:sz w:val="28"/>
        <w:szCs w:val="22"/>
      </w:rPr>
      <w:t>Queensland Government</w:t>
    </w:r>
  </w:p>
  <w:p w14:paraId="62A2740D" w14:textId="77777777" w:rsidR="00427A9E" w:rsidRPr="00D75134" w:rsidRDefault="00427A9E" w:rsidP="00B873E0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0D4B0A91" w14:textId="35F407E9" w:rsidR="00427A9E" w:rsidRPr="001E209B" w:rsidRDefault="006F0588" w:rsidP="00B873E0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F35FFF">
      <w:rPr>
        <w:rFonts w:ascii="Arial" w:hAnsi="Arial" w:cs="Arial"/>
        <w:b/>
        <w:sz w:val="22"/>
        <w:szCs w:val="22"/>
      </w:rPr>
      <w:t>April 2023</w:t>
    </w:r>
  </w:p>
  <w:p w14:paraId="12E1091D" w14:textId="77777777" w:rsidR="00427A9E" w:rsidRDefault="006F0588" w:rsidP="00B873E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Health Practitioner Regulation National Law (Surgeons) Amendment Bill 2023</w:t>
    </w:r>
  </w:p>
  <w:p w14:paraId="5E2745FF" w14:textId="77777777" w:rsidR="00427A9E" w:rsidRDefault="006F0588" w:rsidP="00B873E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Health and Ambulance Services and Leader of the House</w:t>
    </w:r>
  </w:p>
  <w:p w14:paraId="23B524C6" w14:textId="77777777" w:rsidR="00427A9E" w:rsidRPr="003E3AAE" w:rsidRDefault="00427A9E" w:rsidP="00B873E0">
    <w:pPr>
      <w:pStyle w:val="Header"/>
      <w:pBdr>
        <w:bottom w:val="single" w:sz="4" w:space="1" w:color="auto"/>
      </w:pBdr>
      <w:rPr>
        <w:sz w:val="22"/>
      </w:rPr>
    </w:pPr>
  </w:p>
  <w:p w14:paraId="7750914C" w14:textId="77777777" w:rsidR="00427A9E" w:rsidRPr="00E22737" w:rsidRDefault="00427A9E" w:rsidP="00B873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361AE8C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4003208">
    <w:abstractNumId w:val="1"/>
  </w:num>
  <w:num w:numId="2" w16cid:durableId="152662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FF"/>
    <w:rsid w:val="0002622E"/>
    <w:rsid w:val="000D71E9"/>
    <w:rsid w:val="00427A9E"/>
    <w:rsid w:val="004C7209"/>
    <w:rsid w:val="006715AD"/>
    <w:rsid w:val="006F0588"/>
    <w:rsid w:val="006F22C6"/>
    <w:rsid w:val="00707408"/>
    <w:rsid w:val="007D7AB4"/>
    <w:rsid w:val="00C32C95"/>
    <w:rsid w:val="00CF4200"/>
    <w:rsid w:val="00E94ED3"/>
    <w:rsid w:val="00F3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614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F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35FFF"/>
    <w:pPr>
      <w:tabs>
        <w:tab w:val="center" w:pos="4153"/>
        <w:tab w:val="right" w:pos="8306"/>
      </w:tabs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F35FFF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rsid w:val="00F35FF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FFF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customStyle="1" w:styleId="normaltextrun">
    <w:name w:val="normaltextrun"/>
    <w:basedOn w:val="DefaultParagraphFont"/>
    <w:rsid w:val="00F35FFF"/>
  </w:style>
  <w:style w:type="character" w:styleId="Hyperlink">
    <w:name w:val="Hyperlink"/>
    <w:basedOn w:val="DefaultParagraphFont"/>
    <w:uiPriority w:val="99"/>
    <w:unhideWhenUsed/>
    <w:rsid w:val="00707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pcqld.sharepoint.com/sites/DPC-CABINETSERVICES/Shared%20Documents/General/Proactive%20Release/ToBeProcessed/2023/Apr/HealthPractitionerBill/Attachments/SoC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pcqld.sharepoint.com/sites/DPC-CABINETSERVICES/Shared%20Documents/General/Proactive%20Release/ToBeProcessed/2023/Apr/HealthPractitionerBill/Attachments/ExNotes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dpcqld.sharepoint.com/sites/DPC-CABINETSERVICES/Shared%20Documents/General/Proactive%20Release/ToBeProcessed/2023/Apr/HealthPractitionerBill/Attachments/Bill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5F865A-52B9-424F-A692-BAD272847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9C9186-5D2A-4EA2-9358-58390ABC14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1346</Characters>
  <Application>Microsoft Office Word</Application>
  <DocSecurity>0</DocSecurity>
  <Lines>21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Base>https://www.cabinet.qld.gov.au/documents/2023/Apr/HealthPractitionerBill/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dcterms:created xsi:type="dcterms:W3CDTF">2023-03-24T01:36:00Z</dcterms:created>
  <dcterms:modified xsi:type="dcterms:W3CDTF">2024-09-26T21:50:00Z</dcterms:modified>
  <cp:category>Health,Legislation</cp:category>
</cp:coreProperties>
</file>